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D" w:rsidRDefault="00BE0F38">
      <w:bookmarkStart w:id="0" w:name="_GoBack"/>
      <w:r>
        <w:rPr>
          <w:noProof/>
          <w:lang w:eastAsia="uk-UA"/>
        </w:rPr>
        <w:drawing>
          <wp:inline distT="0" distB="0" distL="0" distR="0" wp14:anchorId="26052D19" wp14:editId="2F9FE303">
            <wp:extent cx="9886950" cy="70199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  <w:r w:rsidR="00F34FBD">
        <w:rPr>
          <w:noProof/>
          <w:lang w:eastAsia="uk-UA"/>
        </w:rPr>
        <w:lastRenderedPageBreak/>
        <w:drawing>
          <wp:inline distT="0" distB="0" distL="0" distR="0" wp14:anchorId="35FC07BD" wp14:editId="20C1B434">
            <wp:extent cx="9896475" cy="6981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4FBD" w:rsidRDefault="00F34FBD">
      <w:r>
        <w:rPr>
          <w:noProof/>
          <w:lang w:eastAsia="uk-UA"/>
        </w:rPr>
        <w:lastRenderedPageBreak/>
        <w:drawing>
          <wp:inline distT="0" distB="0" distL="0" distR="0" wp14:anchorId="71C7CCD1" wp14:editId="19096C2F">
            <wp:extent cx="9915525" cy="6962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 wp14:anchorId="12A9585D" wp14:editId="05AF9545">
            <wp:extent cx="9972675" cy="6924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E0F38">
        <w:rPr>
          <w:noProof/>
          <w:lang w:eastAsia="uk-UA"/>
        </w:rPr>
        <w:lastRenderedPageBreak/>
        <w:drawing>
          <wp:inline distT="0" distB="0" distL="0" distR="0" wp14:anchorId="5082AAD4" wp14:editId="3FE05FCE">
            <wp:extent cx="9810750" cy="6829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E0F38">
        <w:rPr>
          <w:noProof/>
          <w:lang w:eastAsia="uk-UA"/>
        </w:rPr>
        <w:lastRenderedPageBreak/>
        <w:drawing>
          <wp:inline distT="0" distB="0" distL="0" distR="0" wp14:anchorId="5212EB78" wp14:editId="3AE03F73">
            <wp:extent cx="9906000" cy="6877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E0F38">
        <w:rPr>
          <w:noProof/>
          <w:lang w:eastAsia="uk-UA"/>
        </w:rPr>
        <w:lastRenderedPageBreak/>
        <w:drawing>
          <wp:inline distT="0" distB="0" distL="0" distR="0" wp14:anchorId="74ED6D87" wp14:editId="538FDAFD">
            <wp:extent cx="9820275" cy="67532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34FBD" w:rsidSect="00F34FB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D"/>
    <w:rsid w:val="009551BA"/>
    <w:rsid w:val="00BB4C3D"/>
    <w:rsid w:val="00BE0F38"/>
    <w:rsid w:val="00F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3C65-2A00-4096-9E6B-C3F78ACE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"Особистість дитини"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здоров'язбережувальна компетентність</c:v>
                </c:pt>
                <c:pt idx="1">
                  <c:v>рухова компетентність</c:v>
                </c:pt>
                <c:pt idx="2">
                  <c:v>особистісна компетентність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здоров'язбережувальна компетентність</c:v>
                </c:pt>
                <c:pt idx="1">
                  <c:v>рухова компетентність</c:v>
                </c:pt>
                <c:pt idx="2">
                  <c:v>особистісна компетентність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здоров'язбережувальна компетентність</c:v>
                </c:pt>
                <c:pt idx="1">
                  <c:v>рухова компетентність</c:v>
                </c:pt>
                <c:pt idx="2">
                  <c:v>особистісна компетентність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44</c:v>
                </c:pt>
                <c:pt idx="2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здоров'язбережувальна компетентність</c:v>
                </c:pt>
                <c:pt idx="1">
                  <c:v>рухова компетентність</c:v>
                </c:pt>
                <c:pt idx="2">
                  <c:v>особистісна компетентність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</c:v>
                </c:pt>
                <c:pt idx="1">
                  <c:v>28</c:v>
                </c:pt>
                <c:pt idx="2">
                  <c:v>43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3937232"/>
        <c:axId val="353936448"/>
      </c:barChart>
      <c:catAx>
        <c:axId val="35393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3936448"/>
        <c:crosses val="autoZero"/>
        <c:auto val="1"/>
        <c:lblAlgn val="ctr"/>
        <c:lblOffset val="100"/>
        <c:noMultiLvlLbl val="0"/>
      </c:catAx>
      <c:valAx>
        <c:axId val="35393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393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"Дитина  соціумі"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024975984630163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соціально громадянська компетентність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соціально громадянська компетентність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соціально громадянська компетентність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соціально громадянська компетентність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3938800"/>
        <c:axId val="295069728"/>
      </c:barChart>
      <c:catAx>
        <c:axId val="35393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95069728"/>
        <c:crosses val="autoZero"/>
        <c:auto val="1"/>
        <c:lblAlgn val="ctr"/>
        <c:lblOffset val="100"/>
        <c:noMultiLvlLbl val="0"/>
      </c:catAx>
      <c:valAx>
        <c:axId val="29506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393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"Дитина в природному довкіллі"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природно-екологічна компетентність</c:v>
                </c:pt>
                <c:pt idx="1">
                  <c:v>навички, орієнтовані на сталий розвиток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природно-екологічна компетентність</c:v>
                </c:pt>
                <c:pt idx="1">
                  <c:v>навички, орієнтовані на сталий розвиток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2"/>
                <c:pt idx="0">
                  <c:v>природно-екологічна компетентність</c:v>
                </c:pt>
                <c:pt idx="1">
                  <c:v>навички, орієнтовані на сталий розвиток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2"/>
                <c:pt idx="0">
                  <c:v>природно-екологічна компетентність</c:v>
                </c:pt>
                <c:pt idx="1">
                  <c:v>навички, орієнтовані на сталий розвиток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41</c:v>
                </c:pt>
                <c:pt idx="1">
                  <c:v>44.5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7717440"/>
        <c:axId val="357716264"/>
      </c:barChart>
      <c:catAx>
        <c:axId val="3577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6264"/>
        <c:crosses val="autoZero"/>
        <c:auto val="1"/>
        <c:lblAlgn val="ctr"/>
        <c:lblOffset val="100"/>
        <c:noMultiLvlLbl val="0"/>
      </c:catAx>
      <c:valAx>
        <c:axId val="357716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"Дитина у світі мистецтва"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мистецько-творча компетентність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мистецько-творча компетентність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мистецько-творча компетентність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мистецько-творча компетентність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7719008"/>
        <c:axId val="357718616"/>
      </c:barChart>
      <c:catAx>
        <c:axId val="35771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8616"/>
        <c:crosses val="autoZero"/>
        <c:auto val="1"/>
        <c:lblAlgn val="ctr"/>
        <c:lblOffset val="100"/>
        <c:noMultiLvlLbl val="0"/>
      </c:catAx>
      <c:valAx>
        <c:axId val="357718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"Гра дитини"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ігрова компетентність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ігрова компетентність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ігрова компетентність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ігрова компетентність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7719400"/>
        <c:axId val="357717832"/>
      </c:barChart>
      <c:catAx>
        <c:axId val="35771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7832"/>
        <c:crosses val="autoZero"/>
        <c:auto val="1"/>
        <c:lblAlgn val="ctr"/>
        <c:lblOffset val="100"/>
        <c:noMultiLvlLbl val="0"/>
      </c:catAx>
      <c:valAx>
        <c:axId val="35771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719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"Дитина в сенсорно-пізнавальному просторі"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сенсорно-пізнавальна компетентність</c:v>
                </c:pt>
                <c:pt idx="1">
                  <c:v>логіко-математична компетентність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сенсорно-пізнавальна компетентність</c:v>
                </c:pt>
                <c:pt idx="1">
                  <c:v>логіко-математична компетентність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сенсорно-пізнавальна компетентність</c:v>
                </c:pt>
                <c:pt idx="1">
                  <c:v>логіко-математична компетентність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40</c:v>
                </c:pt>
                <c:pt idx="1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сенсорно-пізнавальна компетентність</c:v>
                </c:pt>
                <c:pt idx="1">
                  <c:v>логіко-математична компетентність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50</c:v>
                </c:pt>
                <c:pt idx="1">
                  <c:v>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7078832"/>
        <c:axId val="387078440"/>
      </c:barChart>
      <c:catAx>
        <c:axId val="38707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7078440"/>
        <c:crosses val="autoZero"/>
        <c:auto val="1"/>
        <c:lblAlgn val="ctr"/>
        <c:lblOffset val="100"/>
        <c:noMultiLvlLbl val="0"/>
      </c:catAx>
      <c:valAx>
        <c:axId val="38707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707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rgbClr val="FF0000"/>
                </a:solidFill>
              </a:rPr>
              <a:t>Моніторинг дослідження за освітнім</a:t>
            </a:r>
            <a:r>
              <a:rPr lang="uk-UA" b="1" baseline="0">
                <a:solidFill>
                  <a:srgbClr val="FF0000"/>
                </a:solidFill>
              </a:rPr>
              <a:t> напрямом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rgbClr val="FF0000"/>
                </a:solidFill>
              </a:rPr>
              <a:t>"Мовлення дитини"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824822335804515E-2"/>
          <c:y val="0.1040922190201729"/>
          <c:w val="0.93183404705990702"/>
          <c:h val="0.80739022895913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мовленнєва компетентність</c:v>
                </c:pt>
                <c:pt idx="1">
                  <c:v>комунікативна компетентність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мовленнєва компетентність</c:v>
                </c:pt>
                <c:pt idx="1">
                  <c:v>комунікативна компетентність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мовленнєва компетентність</c:v>
                </c:pt>
                <c:pt idx="1">
                  <c:v>комунікативна компетентність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мовленнєва компетентність</c:v>
                </c:pt>
                <c:pt idx="1">
                  <c:v>комунікативна компетентність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61</c:v>
                </c:pt>
                <c:pt idx="1">
                  <c:v>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7077264"/>
        <c:axId val="387079616"/>
      </c:barChart>
      <c:catAx>
        <c:axId val="38707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7079616"/>
        <c:crosses val="autoZero"/>
        <c:auto val="1"/>
        <c:lblAlgn val="ctr"/>
        <c:lblOffset val="100"/>
        <c:noMultiLvlLbl val="0"/>
      </c:catAx>
      <c:valAx>
        <c:axId val="38707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707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2023-09-16T20:05:00Z</dcterms:created>
  <dcterms:modified xsi:type="dcterms:W3CDTF">2023-09-18T18:32:00Z</dcterms:modified>
</cp:coreProperties>
</file>